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3A7" w:rsidRPr="00330FCD" w:rsidRDefault="00F523A7" w:rsidP="00F523A7">
      <w:pPr>
        <w:shd w:val="clear" w:color="auto" w:fill="FFFFFF"/>
        <w:spacing w:after="144" w:line="240" w:lineRule="auto"/>
        <w:textAlignment w:val="baseline"/>
        <w:outlineLvl w:val="2"/>
        <w:rPr>
          <w:rFonts w:ascii="Georgia" w:eastAsia="Times New Roman" w:hAnsi="Georgia" w:cs="Times New Roman"/>
          <w:bCs/>
          <w:sz w:val="24"/>
          <w:szCs w:val="24"/>
          <w:lang w:eastAsia="sl-SI"/>
        </w:rPr>
      </w:pPr>
      <w:r w:rsidRPr="00330FCD">
        <w:rPr>
          <w:rFonts w:ascii="Georgia" w:eastAsia="Times New Roman" w:hAnsi="Georgia" w:cs="Times New Roman"/>
          <w:bCs/>
          <w:sz w:val="24"/>
          <w:szCs w:val="24"/>
          <w:lang w:eastAsia="sl-SI"/>
        </w:rPr>
        <w:t>Kratek opis operacije</w:t>
      </w:r>
    </w:p>
    <w:p w:rsidR="00F523A7" w:rsidRPr="00330FCD" w:rsidRDefault="00F523A7" w:rsidP="00F523A7">
      <w:pPr>
        <w:rPr>
          <w:sz w:val="24"/>
          <w:szCs w:val="24"/>
          <w:lang w:eastAsia="sl-SI"/>
        </w:rPr>
      </w:pPr>
    </w:p>
    <w:p w:rsidR="00F523A7" w:rsidRPr="00F523A7" w:rsidRDefault="00F523A7" w:rsidP="00F523A7">
      <w:pPr>
        <w:shd w:val="clear" w:color="auto" w:fill="FFFFFF"/>
        <w:spacing w:after="144" w:line="240" w:lineRule="auto"/>
        <w:textAlignment w:val="baseline"/>
        <w:outlineLvl w:val="3"/>
        <w:rPr>
          <w:rFonts w:ascii="Georgia" w:eastAsia="Times New Roman" w:hAnsi="Georgia" w:cs="Times New Roman"/>
          <w:b/>
          <w:bCs/>
          <w:color w:val="F07D3E"/>
          <w:sz w:val="24"/>
          <w:szCs w:val="24"/>
          <w:lang w:eastAsia="sl-SI"/>
        </w:rPr>
      </w:pPr>
      <w:r w:rsidRPr="00F523A7">
        <w:rPr>
          <w:rFonts w:ascii="Georgia" w:eastAsia="Times New Roman" w:hAnsi="Georgia" w:cs="Times New Roman"/>
          <w:b/>
          <w:bCs/>
          <w:color w:val="F07D3E"/>
          <w:sz w:val="24"/>
          <w:szCs w:val="24"/>
          <w:lang w:eastAsia="sl-SI"/>
        </w:rPr>
        <w:t>IR optika 2</w:t>
      </w:r>
    </w:p>
    <w:p w:rsidR="00F523A7" w:rsidRPr="00F523A7" w:rsidRDefault="00F523A7" w:rsidP="00F523A7">
      <w:pPr>
        <w:shd w:val="clear" w:color="auto" w:fill="FFFFFF"/>
        <w:spacing w:after="288"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Naziv operacije: Vzpostavitev optične povezljivosti za zavode s področja raziskovanja in izobraževanja – IR optika 2</w:t>
      </w: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Cilji projekta: Namen projekta </w:t>
      </w:r>
      <w:hyperlink r:id="rId5" w:tgtFrame="_blank" w:history="1">
        <w:r w:rsidRPr="00F523A7">
          <w:rPr>
            <w:rFonts w:ascii="inherit" w:eastAsia="Times New Roman" w:hAnsi="inherit" w:cs="Tahoma"/>
            <w:color w:val="F07D3E"/>
            <w:sz w:val="24"/>
            <w:szCs w:val="24"/>
            <w:u w:val="single"/>
            <w:bdr w:val="none" w:sz="0" w:space="0" w:color="auto" w:frame="1"/>
            <w:lang w:eastAsia="sl-SI"/>
          </w:rPr>
          <w:t>IR optika 2</w:t>
        </w:r>
      </w:hyperlink>
      <w:r w:rsidRPr="00F523A7">
        <w:rPr>
          <w:rFonts w:ascii="Tahoma" w:eastAsia="Times New Roman" w:hAnsi="Tahoma" w:cs="Tahoma"/>
          <w:color w:val="333333"/>
          <w:sz w:val="24"/>
          <w:szCs w:val="24"/>
          <w:lang w:eastAsia="sl-SI"/>
        </w:rPr>
        <w:t> je vzpostaviti optične povezave pri čim več javnih zavodih s področja vzgoje in izobraževanja, ki še nimajo lastne optične povezave in pri tistih zavodih, ki uporabljajo optične povezave, vendar zanje plačujejo visoke stroške zakupa. Skupna vrednost programa znaša 5.900.000 €, sredstva mehanizma za okrevanje in odpornost znašajo 4.836.065,57 €.</w:t>
      </w: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p>
    <w:p w:rsidR="00F523A7" w:rsidRPr="00F523A7"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p>
    <w:p w:rsidR="00F523A7" w:rsidRPr="00F523A7" w:rsidRDefault="00F523A7" w:rsidP="00F523A7">
      <w:pPr>
        <w:shd w:val="clear" w:color="auto" w:fill="FFFFFF"/>
        <w:spacing w:after="144" w:line="240" w:lineRule="auto"/>
        <w:textAlignment w:val="baseline"/>
        <w:outlineLvl w:val="3"/>
        <w:rPr>
          <w:rFonts w:ascii="Georgia" w:eastAsia="Times New Roman" w:hAnsi="Georgia" w:cs="Times New Roman"/>
          <w:b/>
          <w:bCs/>
          <w:color w:val="F07D3E"/>
          <w:sz w:val="24"/>
          <w:szCs w:val="24"/>
          <w:lang w:eastAsia="sl-SI"/>
        </w:rPr>
      </w:pPr>
      <w:r w:rsidRPr="00F523A7">
        <w:rPr>
          <w:rFonts w:ascii="Georgia" w:eastAsia="Times New Roman" w:hAnsi="Georgia" w:cs="Times New Roman"/>
          <w:b/>
          <w:bCs/>
          <w:color w:val="F07D3E"/>
          <w:sz w:val="24"/>
          <w:szCs w:val="24"/>
          <w:lang w:eastAsia="sl-SI"/>
        </w:rPr>
        <w:t>Posodobitev omrežij LAN na VIZ</w:t>
      </w:r>
    </w:p>
    <w:p w:rsidR="00F523A7" w:rsidRPr="00F523A7" w:rsidRDefault="00F523A7" w:rsidP="00F523A7">
      <w:pPr>
        <w:shd w:val="clear" w:color="auto" w:fill="FFFFFF"/>
        <w:spacing w:after="288"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Naziv operacije: Posodobitev računalniških omrežij LAN na VIZ v osnovnem in srednjem šolstvu ter organizacijah za izobraževanje odraslih</w:t>
      </w: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Cilji projekta: Namen projekta </w:t>
      </w:r>
      <w:hyperlink r:id="rId6" w:tgtFrame="_blank" w:history="1">
        <w:r w:rsidRPr="00F523A7">
          <w:rPr>
            <w:rFonts w:ascii="inherit" w:eastAsia="Times New Roman" w:hAnsi="inherit" w:cs="Tahoma"/>
            <w:color w:val="F07D3E"/>
            <w:sz w:val="24"/>
            <w:szCs w:val="24"/>
            <w:u w:val="single"/>
            <w:bdr w:val="none" w:sz="0" w:space="0" w:color="auto" w:frame="1"/>
            <w:lang w:eastAsia="sl-SI"/>
          </w:rPr>
          <w:t>Posodobitev omrežij LAN na VIZ</w:t>
        </w:r>
      </w:hyperlink>
      <w:r w:rsidRPr="00F523A7">
        <w:rPr>
          <w:rFonts w:ascii="Tahoma" w:eastAsia="Times New Roman" w:hAnsi="Tahoma" w:cs="Tahoma"/>
          <w:color w:val="333333"/>
          <w:sz w:val="24"/>
          <w:szCs w:val="24"/>
          <w:lang w:eastAsia="sl-SI"/>
        </w:rPr>
        <w:t> je posodobiti računalniška omrežja; pregled obstoječega stanja, izdelava načrta posodobitve, izvedba posodobitve – nadgradnja aktivne in pasivne opreme v osnovnem in srednjem šolstvu ter na organizacijah izobraževanja za odrasle. Skupna vrednost programa znaša 5.533.333,81 €, sredstva mehanizma za okrevanje in odpornost znašajo 4.605.647 €.</w:t>
      </w: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p>
    <w:p w:rsidR="00330FCD" w:rsidRDefault="00330FCD">
      <w:pPr>
        <w:rPr>
          <w:rFonts w:ascii="Georgia" w:eastAsia="Times New Roman" w:hAnsi="Georgia" w:cs="Times New Roman"/>
          <w:b/>
          <w:bCs/>
          <w:color w:val="F07D3E"/>
          <w:sz w:val="24"/>
          <w:szCs w:val="24"/>
          <w:lang w:eastAsia="sl-SI"/>
        </w:rPr>
      </w:pPr>
      <w:r>
        <w:rPr>
          <w:rFonts w:ascii="Georgia" w:eastAsia="Times New Roman" w:hAnsi="Georgia" w:cs="Times New Roman"/>
          <w:b/>
          <w:bCs/>
          <w:color w:val="F07D3E"/>
          <w:sz w:val="24"/>
          <w:szCs w:val="24"/>
          <w:lang w:eastAsia="sl-SI"/>
        </w:rPr>
        <w:br w:type="page"/>
      </w:r>
    </w:p>
    <w:p w:rsidR="00F523A7" w:rsidRPr="00F523A7" w:rsidRDefault="00F523A7" w:rsidP="00F523A7">
      <w:pPr>
        <w:shd w:val="clear" w:color="auto" w:fill="FFFFFF"/>
        <w:spacing w:after="144" w:line="240" w:lineRule="auto"/>
        <w:textAlignment w:val="baseline"/>
        <w:outlineLvl w:val="2"/>
        <w:rPr>
          <w:rFonts w:ascii="Georgia" w:eastAsia="Times New Roman" w:hAnsi="Georgia" w:cs="Times New Roman"/>
          <w:b/>
          <w:bCs/>
          <w:color w:val="F07D3E"/>
          <w:sz w:val="24"/>
          <w:szCs w:val="24"/>
          <w:lang w:eastAsia="sl-SI"/>
        </w:rPr>
      </w:pPr>
      <w:r w:rsidRPr="00F523A7">
        <w:rPr>
          <w:rFonts w:ascii="Georgia" w:eastAsia="Times New Roman" w:hAnsi="Georgia" w:cs="Times New Roman"/>
          <w:b/>
          <w:bCs/>
          <w:color w:val="F07D3E"/>
          <w:sz w:val="24"/>
          <w:szCs w:val="24"/>
          <w:lang w:eastAsia="sl-SI"/>
        </w:rPr>
        <w:lastRenderedPageBreak/>
        <w:t>Obrazložitev vloge Evropske unije z naslednjo navedbo</w:t>
      </w:r>
    </w:p>
    <w:p w:rsidR="00F523A7" w:rsidRPr="00F523A7" w:rsidRDefault="00F523A7" w:rsidP="00F523A7">
      <w:pPr>
        <w:shd w:val="clear" w:color="auto" w:fill="FFFFFF"/>
        <w:spacing w:after="288"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Načrt za okrevanje in odpornost je podlaga za koriščenje sredstev evropskega Mehanizma za okrevanje in odpornost. Pripomogel bo k okrevanju slovenskega gospodarstva in prispeval k blažitvi socialnih posledic pandemije covida-19. Z izvedbo načrtovanih reform in naložb za zeleni in digitalni prehod bo slovenska družba bolj trajnostna, odpornejša in bolje pripravljena na izzive prihodnosti. NOO sofinancirata Evropska unija in Ministrstvo za vzgojo in izobraževanje v okviru odziva Unije na pandemijo COVID-19.</w:t>
      </w:r>
    </w:p>
    <w:p w:rsidR="00F523A7" w:rsidRPr="00330FCD" w:rsidRDefault="00F523A7" w:rsidP="00F523A7">
      <w:pPr>
        <w:shd w:val="clear" w:color="auto" w:fill="FFFFFF"/>
        <w:spacing w:after="144" w:line="240" w:lineRule="auto"/>
        <w:textAlignment w:val="baseline"/>
        <w:outlineLvl w:val="2"/>
        <w:rPr>
          <w:rFonts w:ascii="Georgia" w:eastAsia="Times New Roman" w:hAnsi="Georgia" w:cs="Times New Roman"/>
          <w:b/>
          <w:bCs/>
          <w:color w:val="F07D3E"/>
          <w:sz w:val="24"/>
          <w:szCs w:val="24"/>
          <w:lang w:eastAsia="sl-SI"/>
        </w:rPr>
      </w:pPr>
    </w:p>
    <w:p w:rsidR="00F523A7" w:rsidRPr="00F523A7" w:rsidRDefault="00F523A7" w:rsidP="00F523A7">
      <w:pPr>
        <w:shd w:val="clear" w:color="auto" w:fill="FFFFFF"/>
        <w:spacing w:after="144" w:line="240" w:lineRule="auto"/>
        <w:textAlignment w:val="baseline"/>
        <w:outlineLvl w:val="2"/>
        <w:rPr>
          <w:rFonts w:ascii="Georgia" w:eastAsia="Times New Roman" w:hAnsi="Georgia" w:cs="Times New Roman"/>
          <w:b/>
          <w:bCs/>
          <w:color w:val="F07D3E"/>
          <w:sz w:val="24"/>
          <w:szCs w:val="24"/>
          <w:lang w:eastAsia="sl-SI"/>
        </w:rPr>
      </w:pPr>
      <w:r w:rsidRPr="00F523A7">
        <w:rPr>
          <w:rFonts w:ascii="Georgia" w:eastAsia="Times New Roman" w:hAnsi="Georgia" w:cs="Times New Roman"/>
          <w:b/>
          <w:bCs/>
          <w:color w:val="F07D3E"/>
          <w:sz w:val="24"/>
          <w:szCs w:val="24"/>
          <w:lang w:eastAsia="sl-SI"/>
        </w:rPr>
        <w:t>Povezav</w:t>
      </w:r>
      <w:r w:rsidRPr="00330FCD">
        <w:rPr>
          <w:rFonts w:ascii="Georgia" w:eastAsia="Times New Roman" w:hAnsi="Georgia" w:cs="Times New Roman"/>
          <w:b/>
          <w:bCs/>
          <w:color w:val="F07D3E"/>
          <w:sz w:val="24"/>
          <w:szCs w:val="24"/>
          <w:lang w:eastAsia="sl-SI"/>
        </w:rPr>
        <w:t>a</w:t>
      </w:r>
      <w:r w:rsidRPr="00F523A7">
        <w:rPr>
          <w:rFonts w:ascii="Georgia" w:eastAsia="Times New Roman" w:hAnsi="Georgia" w:cs="Times New Roman"/>
          <w:b/>
          <w:bCs/>
          <w:color w:val="F07D3E"/>
          <w:sz w:val="24"/>
          <w:szCs w:val="24"/>
          <w:lang w:eastAsia="sl-SI"/>
        </w:rPr>
        <w:t xml:space="preserve"> na spletno stran Načrta za okrevanje in odpornost</w:t>
      </w:r>
    </w:p>
    <w:p w:rsidR="00F523A7" w:rsidRPr="00F523A7"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r w:rsidRPr="00F523A7">
        <w:rPr>
          <w:rFonts w:ascii="Tahoma" w:eastAsia="Times New Roman" w:hAnsi="Tahoma" w:cs="Tahoma"/>
          <w:color w:val="333333"/>
          <w:sz w:val="24"/>
          <w:szCs w:val="24"/>
          <w:lang w:eastAsia="sl-SI"/>
        </w:rPr>
        <w:t>Vse informacije o izvajanju Načrta za okrevanje in odpornost (NOO) v Republiki Sloveniji najdete na spletni strani </w:t>
      </w:r>
      <w:hyperlink r:id="rId7" w:tgtFrame="_blank" w:history="1">
        <w:r w:rsidRPr="00F523A7">
          <w:rPr>
            <w:rFonts w:ascii="inherit" w:eastAsia="Times New Roman" w:hAnsi="inherit" w:cs="Tahoma"/>
            <w:color w:val="F07D3E"/>
            <w:sz w:val="24"/>
            <w:szCs w:val="24"/>
            <w:u w:val="single"/>
            <w:bdr w:val="none" w:sz="0" w:space="0" w:color="auto" w:frame="1"/>
            <w:lang w:eastAsia="sl-SI"/>
          </w:rPr>
          <w:t>noo.gov.si</w:t>
        </w:r>
      </w:hyperlink>
      <w:r w:rsidRPr="00F523A7">
        <w:rPr>
          <w:rFonts w:ascii="Tahoma" w:eastAsia="Times New Roman" w:hAnsi="Tahoma" w:cs="Tahoma"/>
          <w:color w:val="333333"/>
          <w:sz w:val="24"/>
          <w:szCs w:val="24"/>
          <w:lang w:eastAsia="sl-SI"/>
        </w:rPr>
        <w:t>.</w:t>
      </w: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p>
    <w:p w:rsidR="00F523A7" w:rsidRPr="00330FCD" w:rsidRDefault="00F523A7" w:rsidP="00F523A7">
      <w:pPr>
        <w:shd w:val="clear" w:color="auto" w:fill="FFFFFF"/>
        <w:spacing w:after="0" w:line="432" w:lineRule="atLeast"/>
        <w:textAlignment w:val="baseline"/>
        <w:rPr>
          <w:rFonts w:ascii="Tahoma" w:eastAsia="Times New Roman" w:hAnsi="Tahoma" w:cs="Tahoma"/>
          <w:color w:val="333333"/>
          <w:sz w:val="24"/>
          <w:szCs w:val="24"/>
          <w:lang w:eastAsia="sl-SI"/>
        </w:rPr>
      </w:pPr>
    </w:p>
    <w:p w:rsidR="00330FCD" w:rsidRPr="00F523A7" w:rsidRDefault="00F523A7" w:rsidP="00F523A7">
      <w:pPr>
        <w:shd w:val="clear" w:color="auto" w:fill="FFFFFF"/>
        <w:spacing w:after="144" w:line="240" w:lineRule="auto"/>
        <w:textAlignment w:val="baseline"/>
        <w:outlineLvl w:val="2"/>
        <w:rPr>
          <w:rFonts w:ascii="Georgia" w:eastAsia="Times New Roman" w:hAnsi="Georgia" w:cs="Times New Roman"/>
          <w:b/>
          <w:bCs/>
          <w:color w:val="F07D3E"/>
          <w:sz w:val="24"/>
          <w:szCs w:val="24"/>
          <w:lang w:eastAsia="sl-SI"/>
        </w:rPr>
      </w:pPr>
      <w:r w:rsidRPr="00F523A7">
        <w:rPr>
          <w:rFonts w:ascii="Georgia" w:eastAsia="Times New Roman" w:hAnsi="Georgia" w:cs="Times New Roman"/>
          <w:b/>
          <w:bCs/>
          <w:color w:val="F07D3E"/>
          <w:sz w:val="24"/>
          <w:szCs w:val="24"/>
          <w:lang w:eastAsia="sl-SI"/>
        </w:rPr>
        <w:t>Logotip</w:t>
      </w:r>
      <w:r w:rsidRPr="00330FCD">
        <w:rPr>
          <w:rFonts w:ascii="Georgia" w:eastAsia="Times New Roman" w:hAnsi="Georgia" w:cs="Times New Roman"/>
          <w:b/>
          <w:bCs/>
          <w:color w:val="F07D3E"/>
          <w:sz w:val="24"/>
          <w:szCs w:val="24"/>
          <w:lang w:eastAsia="sl-SI"/>
        </w:rPr>
        <w:t>i</w:t>
      </w:r>
      <w:r w:rsidRPr="00F523A7">
        <w:rPr>
          <w:rFonts w:ascii="Georgia" w:eastAsia="Times New Roman" w:hAnsi="Georgia" w:cs="Times New Roman"/>
          <w:b/>
          <w:bCs/>
          <w:color w:val="F07D3E"/>
          <w:sz w:val="24"/>
          <w:szCs w:val="24"/>
          <w:lang w:eastAsia="sl-SI"/>
        </w:rPr>
        <w:t xml:space="preserve"> Arnesa, MVI, NOO in EU</w:t>
      </w:r>
      <w:r w:rsidR="00BE3B98">
        <w:rPr>
          <w:rFonts w:ascii="Georgia" w:eastAsia="Times New Roman" w:hAnsi="Georgia" w:cs="Times New Roman"/>
          <w:b/>
          <w:bCs/>
          <w:color w:val="F07D3E"/>
          <w:sz w:val="24"/>
          <w:szCs w:val="24"/>
          <w:lang w:eastAsia="sl-SI"/>
        </w:rPr>
        <w:br/>
      </w:r>
    </w:p>
    <w:p w:rsidR="00F523A7" w:rsidRDefault="00F523A7"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hyperlink r:id="rId8" w:tgtFrame="_blank" w:history="1">
        <w:r w:rsidRPr="00F523A7">
          <w:rPr>
            <w:rFonts w:ascii="inherit" w:eastAsia="Times New Roman" w:hAnsi="inherit" w:cs="Tahoma"/>
            <w:color w:val="000000" w:themeColor="text1"/>
            <w:sz w:val="26"/>
            <w:szCs w:val="26"/>
            <w:bdr w:val="none" w:sz="0" w:space="0" w:color="auto" w:frame="1"/>
            <w:lang w:eastAsia="sl-SI"/>
          </w:rPr>
          <w:t>Predloga z logotipi</w:t>
        </w:r>
      </w:hyperlink>
      <w:r w:rsidR="00330FCD">
        <w:rPr>
          <w:rFonts w:ascii="inherit" w:eastAsia="Times New Roman" w:hAnsi="inherit" w:cs="Tahoma"/>
          <w:color w:val="222222"/>
          <w:sz w:val="26"/>
          <w:szCs w:val="26"/>
          <w:lang w:eastAsia="sl-SI"/>
        </w:rPr>
        <w:t>:</w:t>
      </w:r>
    </w:p>
    <w:p w:rsidR="00330FCD" w:rsidRDefault="00330FCD"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p>
    <w:p w:rsidR="00F523A7" w:rsidRDefault="00F523A7"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r>
        <w:rPr>
          <w:rFonts w:ascii="inherit" w:eastAsia="Times New Roman" w:hAnsi="inherit" w:cs="Tahoma"/>
          <w:noProof/>
          <w:color w:val="222222"/>
          <w:sz w:val="26"/>
          <w:szCs w:val="26"/>
          <w:lang w:eastAsia="sl-SI"/>
        </w:rPr>
        <w:drawing>
          <wp:inline distT="0" distB="0" distL="0" distR="0">
            <wp:extent cx="5494695" cy="5638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O_Arnes_Ministrstvo-za-vzgojo-in-izobrazevanje_EU.png"/>
                    <pic:cNvPicPr/>
                  </pic:nvPicPr>
                  <pic:blipFill>
                    <a:blip r:embed="rId9">
                      <a:extLst>
                        <a:ext uri="{28A0092B-C50C-407E-A947-70E740481C1C}">
                          <a14:useLocalDpi xmlns:a14="http://schemas.microsoft.com/office/drawing/2010/main" val="0"/>
                        </a:ext>
                      </a:extLst>
                    </a:blip>
                    <a:stretch>
                      <a:fillRect/>
                    </a:stretch>
                  </pic:blipFill>
                  <pic:spPr>
                    <a:xfrm>
                      <a:off x="0" y="0"/>
                      <a:ext cx="5518582" cy="566331"/>
                    </a:xfrm>
                    <a:prstGeom prst="rect">
                      <a:avLst/>
                    </a:prstGeom>
                  </pic:spPr>
                </pic:pic>
              </a:graphicData>
            </a:graphic>
          </wp:inline>
        </w:drawing>
      </w:r>
    </w:p>
    <w:p w:rsidR="00F523A7" w:rsidRDefault="00F523A7"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p>
    <w:p w:rsidR="00F523A7" w:rsidRDefault="00F523A7"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p>
    <w:p w:rsidR="00F523A7" w:rsidRPr="00F523A7" w:rsidRDefault="00F523A7" w:rsidP="00F523A7">
      <w:pPr>
        <w:shd w:val="clear" w:color="auto" w:fill="FFFFFF"/>
        <w:spacing w:after="0" w:line="408" w:lineRule="atLeast"/>
        <w:ind w:left="288"/>
        <w:textAlignment w:val="baseline"/>
        <w:rPr>
          <w:rFonts w:ascii="inherit" w:eastAsia="Times New Roman" w:hAnsi="inherit" w:cs="Tahoma"/>
          <w:color w:val="222222"/>
          <w:sz w:val="26"/>
          <w:szCs w:val="26"/>
          <w:lang w:eastAsia="sl-SI"/>
        </w:rPr>
      </w:pPr>
    </w:p>
    <w:p w:rsidR="00F523A7" w:rsidRDefault="00F523A7">
      <w:bookmarkStart w:id="0" w:name="_GoBack"/>
      <w:bookmarkEnd w:id="0"/>
    </w:p>
    <w:sectPr w:rsidR="00F52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444FE"/>
    <w:multiLevelType w:val="multilevel"/>
    <w:tmpl w:val="22D6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6343B4"/>
    <w:multiLevelType w:val="hybridMultilevel"/>
    <w:tmpl w:val="88BAD7F8"/>
    <w:lvl w:ilvl="0" w:tplc="99E0D302">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A7"/>
    <w:rsid w:val="00330FCD"/>
    <w:rsid w:val="00BE3B98"/>
    <w:rsid w:val="00F523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AF60"/>
  <w15:chartTrackingRefBased/>
  <w15:docId w15:val="{20F4E340-F924-4A53-BAD7-166B0973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52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5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nes.si/files/2023/04/NOO_Arnes_Ministrstvo-za-vzgojo-in-izobrazevanje_EU.png" TargetMode="External"/><Relationship Id="rId3" Type="http://schemas.openxmlformats.org/officeDocument/2006/relationships/settings" Target="settings.xml"/><Relationship Id="rId7" Type="http://schemas.openxmlformats.org/officeDocument/2006/relationships/hyperlink" Target="https://www.gov.si/zbirke/projekti-in-programi/nacrt-za-okrevanje-in-odpor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nes.si/posodobitev-omrezij-lan-na-viz/" TargetMode="External"/><Relationship Id="rId11" Type="http://schemas.openxmlformats.org/officeDocument/2006/relationships/theme" Target="theme/theme1.xml"/><Relationship Id="rId5" Type="http://schemas.openxmlformats.org/officeDocument/2006/relationships/hyperlink" Target="https://www.arnes.si/ir-optika-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343</Words>
  <Characters>1961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učitelji</dc:creator>
  <cp:keywords/>
  <dc:description/>
  <cp:lastModifiedBy>učitelji</cp:lastModifiedBy>
  <cp:revision>2</cp:revision>
  <dcterms:created xsi:type="dcterms:W3CDTF">2023-04-17T08:06:00Z</dcterms:created>
  <dcterms:modified xsi:type="dcterms:W3CDTF">2023-04-17T08:25:00Z</dcterms:modified>
</cp:coreProperties>
</file>